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240"/>
        <w:rPr/>
      </w:pPr>
      <w:bookmarkStart w:id="0" w:name="__DdeLink__48_2806513526"/>
      <w:bookmarkStart w:id="1" w:name="__DdeLink__120_1839075616"/>
      <w:bookmarkEnd w:id="0"/>
      <w:bookmarkEnd w:id="1"/>
      <w:r>
        <w:rPr>
          <w:rStyle w:val="Strong"/>
          <w:rFonts w:ascii="Arial" w:hAnsi="Arial"/>
          <w:sz w:val="24"/>
          <w:szCs w:val="24"/>
        </w:rPr>
        <w:t>Prezados Senhores e Senhoras,</w:t>
      </w:r>
    </w:p>
    <w:p>
      <w:pPr>
        <w:pStyle w:val="BodyText"/>
        <w:spacing w:lineRule="auto" w:line="240"/>
        <w:rPr/>
      </w:pPr>
      <w:r>
        <w:rPr>
          <w:rFonts w:ascii="Arial" w:hAnsi="Arial"/>
          <w:sz w:val="24"/>
          <w:szCs w:val="24"/>
        </w:rPr>
        <w:t xml:space="preserve">Ao cumprimentá-los cordialmente, convocamos os Conselheiros de Direito e demais interessados para a </w:t>
      </w:r>
      <w:r>
        <w:rPr>
          <w:rFonts w:ascii="Arial" w:hAnsi="Arial"/>
          <w:b/>
          <w:bCs/>
          <w:sz w:val="24"/>
          <w:szCs w:val="24"/>
        </w:rPr>
        <w:t>7</w:t>
      </w:r>
      <w:r>
        <w:rPr>
          <w:rStyle w:val="Strong"/>
          <w:rFonts w:ascii="Arial" w:hAnsi="Arial"/>
          <w:b/>
          <w:bCs/>
          <w:sz w:val="24"/>
          <w:szCs w:val="24"/>
        </w:rPr>
        <w:t>ª</w:t>
      </w:r>
      <w:r>
        <w:rPr>
          <w:rStyle w:val="Strong"/>
          <w:rFonts w:ascii="Arial" w:hAnsi="Arial"/>
          <w:sz w:val="24"/>
          <w:szCs w:val="24"/>
        </w:rPr>
        <w:t xml:space="preserve"> Plenária </w:t>
      </w:r>
      <w:r>
        <w:rPr>
          <w:rStyle w:val="Strong"/>
          <w:rFonts w:ascii="Arial" w:hAnsi="Arial"/>
          <w:sz w:val="24"/>
          <w:szCs w:val="24"/>
        </w:rPr>
        <w:t>O</w:t>
      </w:r>
      <w:r>
        <w:rPr>
          <w:rStyle w:val="Strong"/>
          <w:rFonts w:ascii="Arial" w:hAnsi="Arial"/>
          <w:sz w:val="24"/>
          <w:szCs w:val="24"/>
        </w:rPr>
        <w:t>rdinária</w:t>
      </w:r>
      <w:r>
        <w:rPr>
          <w:rFonts w:ascii="Arial" w:hAnsi="Arial"/>
          <w:sz w:val="24"/>
          <w:szCs w:val="24"/>
        </w:rPr>
        <w:t xml:space="preserve"> do Conselho Municipal dos Direitos da Criança e do Adolescente – COMDICA, a realizar-se no dia </w:t>
      </w:r>
      <w:r>
        <w:rPr>
          <w:rFonts w:ascii="Arial" w:hAnsi="Arial"/>
          <w:b/>
          <w:bCs/>
          <w:sz w:val="24"/>
          <w:szCs w:val="24"/>
        </w:rPr>
        <w:t>27</w:t>
      </w:r>
      <w:r>
        <w:rPr>
          <w:rStyle w:val="Strong"/>
          <w:rFonts w:ascii="Arial" w:hAnsi="Arial"/>
          <w:sz w:val="24"/>
          <w:szCs w:val="24"/>
        </w:rPr>
        <w:t xml:space="preserve"> de outubro de 2026 (</w:t>
      </w:r>
      <w:r>
        <w:rPr>
          <w:rStyle w:val="Strong"/>
          <w:rFonts w:ascii="Arial" w:hAnsi="Arial"/>
          <w:sz w:val="24"/>
          <w:szCs w:val="24"/>
        </w:rPr>
        <w:t>terça - feira</w:t>
      </w:r>
      <w:r>
        <w:rPr>
          <w:rStyle w:val="Strong"/>
          <w:rFonts w:ascii="Arial" w:hAnsi="Arial"/>
          <w:sz w:val="24"/>
          <w:szCs w:val="24"/>
        </w:rPr>
        <w:t>)</w:t>
      </w:r>
      <w:r>
        <w:rPr>
          <w:rFonts w:ascii="Arial" w:hAnsi="Arial"/>
          <w:sz w:val="24"/>
          <w:szCs w:val="24"/>
        </w:rPr>
        <w:t xml:space="preserve">, às </w:t>
      </w:r>
      <w:r>
        <w:rPr>
          <w:rFonts w:ascii="Arial" w:hAnsi="Arial"/>
          <w:b/>
          <w:bCs/>
          <w:sz w:val="24"/>
          <w:szCs w:val="24"/>
        </w:rPr>
        <w:t>9h30</w:t>
      </w:r>
      <w:r>
        <w:rPr>
          <w:rStyle w:val="Strong"/>
          <w:rFonts w:ascii="Arial" w:hAnsi="Arial"/>
          <w:sz w:val="24"/>
          <w:szCs w:val="24"/>
        </w:rPr>
        <w:t>min</w:t>
      </w:r>
      <w:r>
        <w:rPr>
          <w:rFonts w:ascii="Arial" w:hAnsi="Arial"/>
          <w:sz w:val="24"/>
          <w:szCs w:val="24"/>
        </w:rPr>
        <w:t>, no Centro Integrado de Assistência Social e Cidadania – CIASC sito a Rua Marechal Floriano, 1492, Centro.</w:t>
      </w:r>
    </w:p>
    <w:p>
      <w:pPr>
        <w:pStyle w:val="BodyText"/>
        <w:spacing w:lineRule="auto" w:line="240"/>
        <w:rPr>
          <w:rFonts w:ascii="Arial" w:hAnsi="Arial"/>
        </w:rPr>
      </w:pPr>
      <w:r>
        <w:rPr>
          <w:rFonts w:ascii="Arial" w:hAnsi="Arial"/>
          <w:sz w:val="24"/>
          <w:szCs w:val="24"/>
        </w:rPr>
        <w:t>Ressaltamos que, em caso de impossibilidade de comparecimento , deverá ser encaminhado ofício ao e-mail do COMDICA (comdica@santacruz.rs.gov.br), contendo a devida justificativa de ausência.</w:t>
      </w:r>
    </w:p>
    <w:p>
      <w:pPr>
        <w:pStyle w:val="BodyText"/>
        <w:spacing w:lineRule="auto" w:line="240"/>
        <w:rPr>
          <w:rFonts w:ascii="Arial" w:hAnsi="Arial"/>
        </w:rPr>
      </w:pPr>
      <w:r>
        <w:rPr>
          <w:rFonts w:ascii="Arial" w:hAnsi="Arial"/>
          <w:b w:val="false"/>
          <w:bCs w:val="false"/>
          <w:sz w:val="22"/>
          <w:szCs w:val="22"/>
        </w:rPr>
        <w:t>Pauta:</w:t>
        <w:br/>
        <w:t xml:space="preserve">1 – </w:t>
      </w:r>
      <w:r>
        <w:rPr>
          <w:rFonts w:ascii="Arial" w:hAnsi="Arial"/>
          <w:b w:val="false"/>
          <w:bCs w:val="false"/>
          <w:sz w:val="22"/>
          <w:szCs w:val="22"/>
        </w:rPr>
        <w:t>Aprovação da Ata 09 da 3ª Plenária Extraordinária do dia 14/10/2026</w:t>
      </w:r>
    </w:p>
    <w:p>
      <w:pPr>
        <w:pStyle w:val="BodyText"/>
        <w:spacing w:lineRule="auto" w:line="240"/>
        <w:rPr>
          <w:rFonts w:ascii="Arial" w:hAnsi="Arial"/>
        </w:rPr>
      </w:pPr>
      <w:r>
        <w:rPr>
          <w:rFonts w:ascii="Arial" w:hAnsi="Arial"/>
          <w:b w:val="false"/>
          <w:bCs w:val="false"/>
          <w:sz w:val="22"/>
          <w:szCs w:val="22"/>
        </w:rPr>
        <w:t xml:space="preserve">2 – </w:t>
      </w:r>
      <w:r>
        <w:rPr>
          <w:rFonts w:ascii="Arial" w:hAnsi="Arial"/>
          <w:b w:val="false"/>
          <w:bCs w:val="false"/>
          <w:sz w:val="22"/>
          <w:szCs w:val="22"/>
        </w:rPr>
        <w:t>Aprovação do Edital de Chamamento 002/2026</w:t>
      </w:r>
    </w:p>
    <w:p>
      <w:pPr>
        <w:pStyle w:val="BodyText"/>
        <w:spacing w:lineRule="auto" w:line="240"/>
        <w:rPr>
          <w:rFonts w:ascii="Arial" w:hAnsi="Arial"/>
        </w:rPr>
      </w:pPr>
      <w:r>
        <w:rPr>
          <w:rFonts w:ascii="Arial" w:hAnsi="Arial"/>
          <w:b w:val="false"/>
          <w:bCs w:val="false"/>
          <w:sz w:val="22"/>
          <w:szCs w:val="22"/>
        </w:rPr>
        <w:t xml:space="preserve">3 – Aprovação do Edital de </w:t>
      </w:r>
      <w:r>
        <w:rPr>
          <w:rFonts w:ascii="Arial" w:hAnsi="Arial"/>
          <w:b w:val="false"/>
          <w:bCs w:val="false"/>
          <w:sz w:val="22"/>
          <w:szCs w:val="22"/>
          <w:shd w:fill="FFFFFF" w:val="clear"/>
          <w:lang w:val="pt-BR" w:eastAsia="en-US" w:bidi="ar-SA"/>
        </w:rPr>
        <w:t>processo</w:t>
      </w:r>
      <w:r>
        <w:rPr>
          <w:rFonts w:ascii="Arial" w:hAnsi="Arial"/>
          <w:b w:val="false"/>
          <w:bCs w:val="false"/>
          <w:spacing w:val="-1"/>
          <w:sz w:val="22"/>
          <w:szCs w:val="22"/>
          <w:shd w:fill="FFFFFF" w:val="clear"/>
          <w:lang w:val="pt-BR" w:eastAsia="en-US" w:bidi="ar-SA"/>
        </w:rPr>
        <w:t xml:space="preserve"> </w:t>
      </w:r>
      <w:r>
        <w:rPr>
          <w:rFonts w:ascii="Arial" w:hAnsi="Arial"/>
          <w:b w:val="false"/>
          <w:bCs w:val="false"/>
          <w:sz w:val="22"/>
          <w:szCs w:val="22"/>
          <w:shd w:fill="FFFFFF" w:val="clear"/>
          <w:lang w:val="pt-BR" w:eastAsia="en-US" w:bidi="ar-SA"/>
        </w:rPr>
        <w:t>de</w:t>
      </w:r>
      <w:r>
        <w:rPr>
          <w:rFonts w:ascii="Arial" w:hAnsi="Arial"/>
          <w:b w:val="false"/>
          <w:bCs w:val="false"/>
          <w:spacing w:val="-3"/>
          <w:sz w:val="22"/>
          <w:szCs w:val="22"/>
          <w:shd w:fill="FFFFFF" w:val="clear"/>
          <w:lang w:val="pt-BR" w:eastAsia="en-US" w:bidi="ar-SA"/>
        </w:rPr>
        <w:t xml:space="preserve"> </w:t>
      </w:r>
      <w:r>
        <w:rPr>
          <w:rFonts w:ascii="Arial" w:hAnsi="Arial"/>
          <w:b w:val="false"/>
          <w:bCs w:val="false"/>
          <w:sz w:val="22"/>
          <w:szCs w:val="22"/>
          <w:shd w:fill="FFFFFF" w:val="clear"/>
          <w:lang w:val="pt-BR" w:eastAsia="en-US" w:bidi="ar-SA"/>
        </w:rPr>
        <w:t>escolha</w:t>
      </w:r>
      <w:r>
        <w:rPr>
          <w:rFonts w:ascii="Arial" w:hAnsi="Arial"/>
          <w:b w:val="false"/>
          <w:bCs w:val="false"/>
          <w:spacing w:val="-7"/>
          <w:sz w:val="22"/>
          <w:szCs w:val="22"/>
          <w:shd w:fill="FFFFFF" w:val="clear"/>
          <w:lang w:val="pt-BR" w:eastAsia="en-US" w:bidi="ar-SA"/>
        </w:rPr>
        <w:t xml:space="preserve"> </w:t>
      </w:r>
      <w:r>
        <w:rPr>
          <w:rFonts w:ascii="Arial" w:hAnsi="Arial"/>
          <w:b w:val="false"/>
          <w:bCs w:val="false"/>
          <w:spacing w:val="-7"/>
          <w:sz w:val="22"/>
          <w:szCs w:val="22"/>
          <w:shd w:fill="FFFFFF" w:val="clear"/>
          <w:lang w:val="pt-BR" w:eastAsia="en-US" w:bidi="ar-SA"/>
        </w:rPr>
        <w:t xml:space="preserve">direta </w:t>
      </w:r>
      <w:r>
        <w:rPr>
          <w:rFonts w:ascii="Arial" w:hAnsi="Arial"/>
          <w:b w:val="false"/>
          <w:bCs w:val="false"/>
          <w:sz w:val="22"/>
          <w:szCs w:val="22"/>
          <w:shd w:fill="FFFFFF" w:val="clear"/>
          <w:lang w:val="pt-BR" w:eastAsia="en-US" w:bidi="ar-SA"/>
        </w:rPr>
        <w:t>de conselheiros</w:t>
      </w:r>
      <w:r>
        <w:rPr>
          <w:rFonts w:ascii="Arial" w:hAnsi="Arial"/>
          <w:b w:val="false"/>
          <w:bCs w:val="false"/>
          <w:spacing w:val="-1"/>
          <w:sz w:val="22"/>
          <w:szCs w:val="22"/>
          <w:shd w:fill="FFFFFF" w:val="clear"/>
          <w:lang w:val="pt-BR" w:eastAsia="en-US" w:bidi="ar-SA"/>
        </w:rPr>
        <w:t xml:space="preserve"> </w:t>
      </w:r>
      <w:r>
        <w:rPr>
          <w:rFonts w:ascii="Arial" w:hAnsi="Arial"/>
          <w:b w:val="false"/>
          <w:bCs w:val="false"/>
          <w:sz w:val="22"/>
          <w:szCs w:val="22"/>
          <w:shd w:fill="FFFFFF" w:val="clear"/>
          <w:lang w:val="pt-BR" w:eastAsia="en-US" w:bidi="ar-SA"/>
        </w:rPr>
        <w:t>tutelares suplentes</w:t>
      </w:r>
    </w:p>
    <w:p>
      <w:pPr>
        <w:pStyle w:val="BodyText"/>
        <w:spacing w:lineRule="auto" w:line="240"/>
        <w:rPr>
          <w:rFonts w:ascii="Arial" w:hAnsi="Arial"/>
        </w:rPr>
      </w:pPr>
      <w:r>
        <w:rPr>
          <w:rFonts w:ascii="Arial" w:hAnsi="Arial"/>
          <w:b w:val="false"/>
          <w:bCs w:val="false"/>
          <w:sz w:val="22"/>
          <w:szCs w:val="22"/>
        </w:rPr>
        <w:t>4 – Aprovação de Projeto para captação de recursos externos</w:t>
      </w:r>
    </w:p>
    <w:p>
      <w:pPr>
        <w:pStyle w:val="BodyText"/>
        <w:spacing w:lineRule="auto" w:line="240"/>
        <w:rPr>
          <w:rFonts w:ascii="Arial" w:hAnsi="Arial"/>
        </w:rPr>
      </w:pPr>
      <w:r>
        <w:rPr>
          <w:rFonts w:ascii="Arial" w:hAnsi="Arial"/>
          <w:b w:val="false"/>
          <w:bCs w:val="false"/>
          <w:sz w:val="22"/>
          <w:szCs w:val="22"/>
        </w:rPr>
        <w:t>5 – Aprovação de projeto predestinado do Circolo Culturale Bella Itália</w:t>
      </w:r>
    </w:p>
    <w:p>
      <w:pPr>
        <w:pStyle w:val="BodyText"/>
        <w:spacing w:lineRule="auto" w:line="240"/>
        <w:rPr>
          <w:rFonts w:ascii="Arial" w:hAnsi="Arial"/>
        </w:rPr>
      </w:pPr>
      <w:r>
        <w:rPr>
          <w:rFonts w:ascii="Arial" w:hAnsi="Arial"/>
          <w:b w:val="false"/>
          <w:bCs w:val="false"/>
          <w:sz w:val="22"/>
          <w:szCs w:val="22"/>
        </w:rPr>
        <w:t>6 – 13ª Conferência Municipal dos Direitos da Criança e do Adolescente</w:t>
      </w:r>
    </w:p>
    <w:p>
      <w:pPr>
        <w:pStyle w:val="BodyText"/>
        <w:spacing w:lineRule="auto" w:line="240"/>
        <w:rPr>
          <w:rFonts w:ascii="Arial" w:hAnsi="Arial"/>
        </w:rPr>
      </w:pPr>
      <w:r>
        <w:rPr>
          <w:rFonts w:ascii="Arial" w:hAnsi="Arial"/>
          <w:b w:val="false"/>
          <w:bCs w:val="false"/>
          <w:sz w:val="22"/>
          <w:szCs w:val="22"/>
        </w:rPr>
        <w:t>7 – Assuntos Gerais</w:t>
      </w:r>
    </w:p>
    <w:p>
      <w:pPr>
        <w:pStyle w:val="Normal"/>
        <w:spacing w:lineRule="auto" w:line="240" w:before="0" w:after="0"/>
        <w:ind w:hanging="0" w:left="0" w:right="0"/>
        <w:jc w:val="left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</w:r>
      <w:bookmarkStart w:id="2" w:name="__DdeLink__120_1839075616_Copia_1"/>
      <w:bookmarkEnd w:id="2"/>
    </w:p>
    <w:p>
      <w:pPr>
        <w:pStyle w:val="BodyText"/>
        <w:bidi w:val="0"/>
        <w:spacing w:lineRule="auto" w:line="240" w:before="0" w:after="0"/>
        <w:ind w:hanging="0" w:left="0" w:right="0"/>
        <w:jc w:val="left"/>
        <w:rPr>
          <w:rFonts w:ascii="Arial" w:hAnsi="Arial"/>
        </w:rPr>
      </w:pPr>
      <w:r>
        <w:rPr>
          <w:rFonts w:ascii="Arial" w:hAnsi="Arial"/>
        </w:rPr>
        <w:br/>
        <w:br/>
        <w:br/>
        <w:br/>
        <w:b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Marcas">
    <w:name w:val="Marcas"/>
    <w:qFormat/>
    <w:rPr>
      <w:rFonts w:ascii="OpenSymbol" w:hAnsi="OpenSymbol" w:eastAsia="OpenSymbol" w:cs="OpenSymbol"/>
    </w:rPr>
  </w:style>
  <w:style w:type="character" w:styleId="Smbolosdenumeraouser">
    <w:name w:val="Símbolos de numeração (user)"/>
    <w:qFormat/>
    <w:rPr/>
  </w:style>
  <w:style w:type="character" w:styleId="Strong">
    <w:name w:val="Strong"/>
    <w:qFormat/>
    <w:rPr>
      <w:b/>
      <w:bCs/>
    </w:rPr>
  </w:style>
  <w:style w:type="paragraph" w:styleId="Ttulo">
    <w:name w:val="Títu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1621</TotalTime>
  <Application>LibreOffice/26.8.1.1$Windows_X86_64 LibreOffice_project/bf6ef2662401c7d6dce671ab4deb26ee0af3a7c1</Application>
  <AppVersion>15.0000</AppVersion>
  <Pages>1</Pages>
  <Words>151</Words>
  <Characters>874</Characters>
  <CharactersWithSpaces>1029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2024-03-22T09:58:05Z</dcterms:created>
  <dc:creator/>
  <dc:description/>
  <dc:language>pt-BR</dc:language>
  <cp:lastModifiedBy/>
  <cp:lastPrinted>2025-09-12T14:33:34Z</cp:lastPrinted>
  <dcterms:modified xsi:type="dcterms:W3CDTF">2026-10-22T14:04:59Z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